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020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68"/>
      </w:tblGrid>
      <w:tr w:rsidR="00FE4793" w:rsidRPr="00FE4793" w:rsidTr="009E6060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FE4793" w:rsidRPr="00FE4793" w:rsidRDefault="00FE4793" w:rsidP="009E6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E47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biblioteca</w:t>
            </w:r>
          </w:p>
        </w:tc>
      </w:tr>
      <w:tr w:rsidR="00FE4793" w:rsidRPr="00FE4793" w:rsidTr="009E6060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E4793" w:rsidRDefault="00FE4793" w:rsidP="009E6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E6060" w:rsidRPr="00FE4793" w:rsidRDefault="009E6060" w:rsidP="009E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FE4793" w:rsidRPr="00FE4793" w:rsidTr="009E606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E4793" w:rsidRPr="00FE4793" w:rsidRDefault="00FE4793" w:rsidP="009E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Assisted reproductive techniques after fertility-sparing treatments in </w:t>
            </w: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gynaecological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 cancers</w:t>
            </w:r>
          </w:p>
        </w:tc>
      </w:tr>
      <w:tr w:rsidR="00FE4793" w:rsidRPr="00FE4793" w:rsidTr="009E606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E4793" w:rsidRPr="00FE4793" w:rsidRDefault="00FE4793" w:rsidP="009E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Trends in ‘poor responder’ research: lessons learned from RCTs in assisted conception</w:t>
            </w:r>
          </w:p>
        </w:tc>
      </w:tr>
      <w:tr w:rsidR="00FE4793" w:rsidRPr="00FE4793" w:rsidTr="009E606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E4793" w:rsidRPr="00FE4793" w:rsidRDefault="00FE4793" w:rsidP="009E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Leptin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 and its potential interest in assisted reproduction cycles</w:t>
            </w:r>
          </w:p>
        </w:tc>
      </w:tr>
      <w:tr w:rsidR="00FE4793" w:rsidRPr="00FE4793" w:rsidTr="009E606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E4793" w:rsidRPr="00FE4793" w:rsidRDefault="00FE4793" w:rsidP="009E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Activins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 in reproductive biology and beyond</w:t>
            </w:r>
          </w:p>
        </w:tc>
      </w:tr>
      <w:tr w:rsidR="00FE4793" w:rsidRPr="00FE4793" w:rsidTr="009E606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E4793" w:rsidRPr="00FE4793" w:rsidRDefault="00FE4793" w:rsidP="009E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GnRH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 and </w:t>
            </w: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GnRH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 receptors in the </w:t>
            </w: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pathophysiology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 of the human female reproductive system</w:t>
            </w:r>
          </w:p>
        </w:tc>
      </w:tr>
      <w:tr w:rsidR="00FE4793" w:rsidRPr="00FE4793" w:rsidTr="009E606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E4793" w:rsidRPr="00FE4793" w:rsidRDefault="00FE4793" w:rsidP="009E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Kinase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 </w:t>
            </w: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signalling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 pathways in endometriosis: potential targets for non-hormonal therapeutics</w:t>
            </w:r>
          </w:p>
        </w:tc>
      </w:tr>
      <w:tr w:rsidR="00FE4793" w:rsidRPr="00FE4793" w:rsidTr="009E606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E4793" w:rsidRPr="00FE4793" w:rsidRDefault="00FE4793" w:rsidP="009E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A frameless LNG-IUD may be preferred over framed LNG-IUD for the treatment of primary </w:t>
            </w: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dysmenorrhea</w:t>
            </w:r>
            <w:proofErr w:type="spellEnd"/>
          </w:p>
        </w:tc>
      </w:tr>
      <w:tr w:rsidR="00FE4793" w:rsidRPr="00FE4793" w:rsidTr="009E606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E4793" w:rsidRPr="00FE4793" w:rsidRDefault="00FE4793" w:rsidP="009E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Reply: LNG-IUDs in treating </w:t>
            </w: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dysmenorrhea</w:t>
            </w:r>
            <w:proofErr w:type="spellEnd"/>
          </w:p>
        </w:tc>
      </w:tr>
      <w:tr w:rsidR="00FE4793" w:rsidRPr="00FE4793" w:rsidTr="009E606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E4793" w:rsidRPr="00FE4793" w:rsidRDefault="00FE4793" w:rsidP="009E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Metformin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 for women with </w:t>
            </w: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hyperandrogenic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 </w:t>
            </w: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anovulation</w:t>
            </w:r>
            <w:proofErr w:type="spellEnd"/>
          </w:p>
        </w:tc>
      </w:tr>
      <w:tr w:rsidR="00FE4793" w:rsidRPr="00FE4793" w:rsidTr="009E606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E4793" w:rsidRPr="00FE4793" w:rsidRDefault="00FE4793" w:rsidP="009E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One plus one equals two: why fetal reduction is always a second-best solution</w:t>
            </w:r>
          </w:p>
        </w:tc>
      </w:tr>
      <w:tr w:rsidR="00FE4793" w:rsidRPr="00FE4793" w:rsidTr="009E606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E4793" w:rsidRPr="00FE4793" w:rsidRDefault="00FE4793" w:rsidP="009E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Annexin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 A5 </w:t>
            </w: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haplotype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 M2 is not a risk factor for recurrent spontaneous abortion in Northern Europe: is there sufficient evidence?</w:t>
            </w:r>
          </w:p>
        </w:tc>
      </w:tr>
      <w:tr w:rsidR="00FE4793" w:rsidRPr="00FE4793" w:rsidTr="009E606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E4793" w:rsidRPr="00FE4793" w:rsidRDefault="00FE4793" w:rsidP="009E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 xml:space="preserve">Strategies to manage refractory </w:t>
            </w:r>
            <w:proofErr w:type="spellStart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endometrium</w:t>
            </w:r>
            <w:proofErr w:type="spellEnd"/>
            <w:r w:rsidRPr="00FE4793">
              <w:rPr>
                <w:rFonts w:ascii="Calibri" w:eastAsia="Times New Roman" w:hAnsi="Calibri" w:cs="Calibri"/>
                <w:color w:val="000000"/>
                <w:lang w:val="en-US" w:eastAsia="es-AR"/>
              </w:rPr>
              <w:t>: state of the art in 2016</w:t>
            </w:r>
          </w:p>
        </w:tc>
      </w:tr>
    </w:tbl>
    <w:p w:rsidR="003A72FC" w:rsidRPr="00FE4793" w:rsidRDefault="009E6060">
      <w:pPr>
        <w:rPr>
          <w:lang w:val="en-US"/>
        </w:rPr>
      </w:pPr>
      <w:proofErr w:type="spellStart"/>
      <w:r w:rsidRPr="009E6060">
        <w:rPr>
          <w:lang w:val="en-US"/>
        </w:rPr>
        <w:t>faltan</w:t>
      </w:r>
      <w:proofErr w:type="spellEnd"/>
      <w:r w:rsidRPr="009E6060">
        <w:rPr>
          <w:lang w:val="en-US"/>
        </w:rPr>
        <w:t xml:space="preserve"> </w:t>
      </w:r>
      <w:proofErr w:type="spellStart"/>
      <w:r w:rsidRPr="009E6060">
        <w:rPr>
          <w:lang w:val="en-US"/>
        </w:rPr>
        <w:t>estos</w:t>
      </w:r>
      <w:proofErr w:type="spellEnd"/>
      <w:r w:rsidRPr="009E6060">
        <w:rPr>
          <w:lang w:val="en-US"/>
        </w:rPr>
        <w:t xml:space="preserve"> pdf</w:t>
      </w:r>
    </w:p>
    <w:sectPr w:rsidR="003A72FC" w:rsidRPr="00FE4793" w:rsidSect="000A35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793"/>
    <w:rsid w:val="000A350B"/>
    <w:rsid w:val="003E48D0"/>
    <w:rsid w:val="009E6060"/>
    <w:rsid w:val="00B7216F"/>
    <w:rsid w:val="00FE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834</Characters>
  <Application>Microsoft Office Word</Application>
  <DocSecurity>0</DocSecurity>
  <Lines>6</Lines>
  <Paragraphs>1</Paragraphs>
  <ScaleCrop>false</ScaleCrop>
  <Company>Hewlett-Packard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Mabel</cp:lastModifiedBy>
  <cp:revision>2</cp:revision>
  <dcterms:created xsi:type="dcterms:W3CDTF">2016-04-27T17:08:00Z</dcterms:created>
  <dcterms:modified xsi:type="dcterms:W3CDTF">2016-04-27T17:11:00Z</dcterms:modified>
</cp:coreProperties>
</file>